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2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кассационные жалобы следует передать другим судьям.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307-ЭС20-21821. Председатель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