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27.01.2020, оставленным без изменения постановлением Одиннадцатого арбитражного апелляционного суда от 11.06.2020, иск удовлетворен. Постановлением Арбитражного суда Поволжского округа от 18.09.2020 указанные судебные акты отменены, в иске отказано. Общество обратилось в Верховный Суд Российской Федерации с кассационной жалобой, в которой просит постановление суда округа отменить, считая его незаконным и необоснованным. При изучении доводов жалобы и принятых по делу судебных актов оснований для удовлетворения жалобы не установлено. Отменяя решение суда первой и постановление суда апелляционной инстанций, суд округа руководствовался положениями статей 1, 10, 421 Гражданского кодекса Российской Федерации, статей 6, 8, 24,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и исходил из того, что согласование сторонами возможности выполнения работ в обход норм законодательства не влечет возникновения у исполнителя как субъекта, осведомленного о специфике статуса заказчика, права требовать платы по договору. Изложенные в жалобе доводы подлежат отклонению, поскольку приведенный подход допускает поставку товаров, выполнение работ и оказание услуг для государственных или муниципальных нужд в обход процедур законодательства о контрактной системе и нивелирует его, в нарушение публичных интересов.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