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Ульяновской области от 16.12.2019, оставленным без изменения постановлением Одиннадцатого арбитражного апелляционного суда от 29.05.2020 и постановлением Арбитражного суда Поволжского округа от 15.09.2020, иск удовлетворен. В кассационной жалобе общество «СеТех» просит об отмене судебных актов, ссылаясь на неполучение заявок на поставку товара, относительно которых определяется нарушение срока поставки, и неравноценность договорной ответственности сторон.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в силу договора от 19.11.2018 № ДК-67/18 предусмотрена предварительная оплата товара покупателем, осуществленная истцом. Подлежащая возврату в связи с непоставкой товара сумма определена на основании акта сверки и взыскана в соответствии со статьями 309, 310, 330, 486, 487, 506, 516 Гражданского кодекса Российской Федерации. Взысканная неустойка носит договорный характер, о ее уменьшении по критериям статьи 333 Гражданского кодекса Российской Федерации ответчик своевременно не заявил, поэтому оснований для признания неправомерного ее взыскания на стадии кассационного производства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«СеТех»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