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08.01.2021 с ходатайством о восстановлении срока. Пропуск срока на подачу жалобы организация считает обусловленным отсутствием в штате организации юридической службы, тяжелым экономическим положением, ситуацией с коронавирусом. Указанные обстоятельства не создают не зависящей от организации причины несвоевременной подачи жалобы, необходимой в силу части 2 статьи 291.2 Арбитражного процессуального кодекса Российской Федерации для восстановления пропущенного срока, поэтому в связи с ними срок восстановлению не подлежит.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Территориальной профсоюзной организации менеджеров малого и среднего бизнеса Республики Татарстан в восстановлении срока подачи кассационной жалобы на решение Арбитражного суда Республики Татарстан от 24.01.2020 по делу № А65-30385/2019, постановление Одиннадцатого арбитражного апелляционного суда от 04.06.2020 и постановление Арбитражного суда Поволжского округа от 01.10.2020 по тому же делу. Кассационную жалобу Территориальной профсоюзной организации менеджеров малого и среднего бизнеса Республики Татарстан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