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22.01.2020, оставленным без изменения постановлением Восемнадцатого арбитражного апелляционного суда от 07.07.2020, заявленные требования удовлетворены. Постановлением Арбитражного суда Уральского округа от 13.10.2020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При рассмотрении дела суды признали недоказанным факт того, что предпринимателем допущено самовольное занятие земельного участка и его использование, а также установили наличие процессуальных нарушений при производстве по делу об административном правонарушении, выразившихся в возбуждении дела об административном правонарушении неуполномоченным лицом. Доводы жалобы сводятся к несогласию заявителя с установленными судами фактическими обстоятельствами дела, в том числе, относительно наличия в действиях лица, привлекаемого к ответственности, состава административного правонарушения,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