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Брянской области от 03.02.2020, оставленным без изменения постановлением Двадцатого арбитражного апелляционного суда от 27.05.2020, по первоначальному иску взыскано 5 643 775 рублей задолженности и 304 955 рублей 44 копейки неустойки, по встречному – 4 817 337 рублей 50 копеек неосновательного обогащения; в результате зачета взысканных сумм с общества в пользу предпринимателя взыскано 826 437 рублей 50 копеек задолженности и 300 203 рубля 44 копейки неустойки. Арбитражный суд Центрального округа постановлением от 14.09.2020 решение 03.02.2020 и постановление Двадцатого арбитражного апелляционного суда от 27.05.2020 оставил без изменения. 2 В кассационной жалобе предприниматель просит об отмене судебных актов, ссылаясь на неправильное исчисление срока исковой давности по встречному иску, выбор ненадлежащего способа защиты права по встречному иску.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Срок исковой давности по встречному иску признан соблюденным, учитывая реализацию досудебного порядка урегулирования спора в сроки, предусмотренные Федеральным законом от 30.06.2003 № 87-ФЗ «О транспортно-экспедиционной деятельности», на которые в силу статьи 202 Гражданского кодекса российской Федерации приостанавливается течение срока исковой давности. Довод о неприменении к договорным обязательствам норм права о неосновательном обогащении является ошибочным. Суд установил оплату обществом не согласованной услуги, поэтому обязал предпринимателя возвратить полученную сумму в связи с отсутствием основания для ее получения и удержания.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Теплоуховой Е.В.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