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27.02.2020, оставленным без изменения постановлением Семнадцатого арбитражного апелляционного суда от 22.05.2020, взыскано 36 920 рублей страхового возмещения, 290 рублей 40 копеек почтовых расходов, 17 000 рублей расходов на услуги эксперта. Арбитражный суд Уральского округа постановлением от 16.09.2020 решение от 27.02.2020 и постановление Семнадцатого арбитражного апелляционного суда от 22.05.2020 оставил без изменения. 2 В кассационной жалобе общество просит об отмене судебных актов, ссылаясь на неисследование обстоятельств происшествия и неустановление степени вины его участников.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по результату расследования происшествия, отраженному в определении об отказе возбуждении дела об административном правонарушении, исследованном судами, в действиях участников не установлено нарушений. Суд компетентен на установление вины как условия для применения ответственности за причинение вреда и в пределах своей компетенции признал вину обоюдной и с учетом таковой и произведенной страховщиком выплаты определил подлежащую взысканию сумму.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«Профит-Груп» в передаче заявления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