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23.09.2020,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предпринимателю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закрытого акционерного общества «Технострой»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