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18.12.2019, оставленным без изменения постановлением Одиннадцатого арбитражного апелляционного суда от 14.07.2020 и постановлением Арбитражного суда Поволжского округа от 08.10.2020, первоначальные исковые требования удовлетворены, в удовлетворении встречного иска отказано. В кассационной жалобе, поданной в Верховный Суд Российской Федерации, общество, ссылаясь на нарушение судами норм материального 2 и процессуального права,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перечисления товариществом в пользу общества денежных средств в заявленном размере в рамках договора, прекращения договора ввиду отказа товарищества от его исполнения, отсутствие доказательств оказания обществом услуг по договору, руководствуясь статьями 450.1, 711, 783, 1102 Гражданского кодекса Российской Федерации, суды первой и апелляционной инстанций пришли к выводу о наличии оснований для удовлетворения первоначальных исковых требований и отказа в удовлетворении встречного иска. С указанными выводами впоследствии согласился суд округа. Доводы кассационной жалобы, в том числе о выходе суда первой инстанции за пределы заявленных требований, являлись предметом рассмотрения судов и получили правовую оценку, не опровергают их выводы и не подтверждают существенных нарушений норм материального и норм процессуального права, повлиявших на исход дела.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«ТехноКонсалт»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