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18.02.2020, оставленным без изменения постановлением Седьмого арбитражного апелляционного суда от 01.06.2020, в удовлетворении иска отказано. Арбитражный суд Западно-Сибирского округа постановлением от 17.09.2020 решение от 18.02.2020 и постановление Седьмого арбитражного апелляционного суда от 01.06.2020 оставил без изменения. В кассационной жалобе общество просит об отмене судебных актов вследствие неправильного распределения бремени доказывания, неустановления сомнительности конкретных операций, неправомерного отказа в принятии дополнительных доказательств и отсутствия надлежащей правовой оценки соглашения о расторжении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оспариваемые действия банка явились результатом проверки операций общества применительно к критериям, установленным Федеральным законом от 07.08.2001 № 115-ФЗ «О противодействии легализации (отмыванию) доходов, полученных преступным путем, и финансированию терроризма», нормативными актами Банка России, правилами внутреннего контроля, и соответствуют этим документам и договору банковского счета.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