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11.03.2020, оставленным без изменения постановлением Семнадцатого арбитражного апелляционного суда от 19.06.2020 и постановлением Арбитражного суда Уральского округа от 01.10.2020, первоначальный иск удовлетворен, в удовлетворении встречного иска отказано. В кассационной жалобе общество «Элемент-Трейд» просит о пересмотре судебных актов, ссылаясь на неисследование электронного документооборота о согласовании сторонами поставки акционного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разрешили спор по установленным обстоятельствам поставки обществом «ЭКОПРОД» товара и неоплаты его обществом «Элемент-Трейд», применив к ним статьи 309, 310, 506, 516 Гражданского кодекса Российской Федерации, Требуемая в жалобе переоценка доказательств согласования поставки акционного товара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«Элемент-Трейд»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