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13.02.2020, оставленным без изменения постановлением Седьмого арбитражного апелляционного суда от 04.06.2020, в удовлетворении иска отказано в связи с тем, что заявленные расходы не попадают под условия страхования. Арбитражный суд Западно-Сибирского округа постановлением от 17.09.2020 решение от 13.02.2020 и постановление Седьмого арбитражного апелляционного суда от 04.06.2020 оставил без изменения. В кассационной жалобе общество «Агентство» просит об отмене судебных актов, ссылаясь на неправильное толкование условий страхования.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вязи с доводами жалобы не усматривается. Суды установили, что в силу условий страхования, содержащихся в договоре страхования имущества от огня и других опасностей от 22.12.2017 № V07454-0002314, расходы, связанные со страховым случаем, к которым отнесены заявленные расходы на клининговые услуги, возмещаются, если это оговорено договором. Таким образом, судьба спорных расходов разрешена договором и не требует применения правила статьи 431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«Агентство»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