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31.01.2020 исковые требования удовлетворены. Девятый арбитражный апелляционный суд постановлением от 03.07.2020 отменил решение от 31.01.2020 и в удовлетворении иска отказал. Арбитражный суд Московского округа постановлением от 06.10.2020 постановление Девятого арбитражного апелляционного суда от 03.07.2020 оставил без изменения. В кассационной жалобе предприятие просит об отмене судебных актов апелляционного и окружного судов, ссылаясь на отсутствие в гарантии ограничения в отношении природы обеспечиваемых обязательств, неосновательное признание ее не вступившей в силу.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согласно условиям банковской гарантии от 16.03.2018 № БГЮ02030770018-2018, не требующим толкования, гарантия обеспечивает возмещение убытков. Установив, что предприятие потребовало от банка уплаты штрафов и пеней, апелляционный суд признал отказ банка удовлетворить требование соответствующим статье 376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ведомственной охраны Министерства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