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17.01.2020, оставленным без изменения постановлением Семнадцатого арбитражного апелляционного суда от 29.05.2020 и постановлением Арбитражного суда Уральского округа от 16.09.2020, в иске отказано. В кассационной жалобе общество «Амадей» просит о пересмотре судебных актов как противоречащих фактическим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связи недоказанностью поставки в иске отказано в соответствии со статьями 309, 456, 486, 506, 516 Гражданского кодекса Российской Федерации. Приведенные в рассматриваемой жалобе доводы связаны с доказательной стороной дела, не образующей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«Амадей»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