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06.11.2019 исковые требования удовлетворены. Постановлением Двенадцатого арбитражного апелляционного суда от 22.05.2020 решение суда первой инстанции изменено, с предпринимателя в пользу предприятия взыскано 23 500 руб. стоимости восстановительного ремонта двигателя автомобиля, 717 руб. 56 коп. расходов по уплате государственной пошлины, 6600 руб. 45 коп. расходов по оплате повторной 2 судебной автотехнической экспертизы, в удовлетворении остальной части исковых требований отказано. С предприятия в пользу предпринимателя взыскано 2752 руб. 48 коп. расходов по уплате государственной пошлины за рассмотрение апелляционной жалобы, 14 762 руб. 42 коп. расходов по оплате дополнительной судебной автотехнической экспертизы. Постановлением Арбитражного суда Поволжского округа от 15.09.2020 постановление суда апелляционной инстанции оставлено без изменения. В кассационной жалобе, поданной в Верховный Суд Российской Федерации, предприятие, ссылаясь на нарушение судами норм права, просит отменить указанные судебные акты и принять новый судебный акт об удовлетворении иска в полном объеме или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экспертные заключения, установив, что выявленные в период гарантийного срока недостатки являются устранимыми, стоимость восстановительного ремонта составляет 23 500 руб., ранее приобретенные запасные части могут быть использованы после устранения недостатков, учитывая, что предприятие не отказывалось от договоров, не устанавливало предпринимателю разумный срок для устранения выявленных недостатков, не просило о соразмерном уменьшении цены и не устраняло недостатки самостоятельно, руководствуясь статьями 8, 307, 309, 310, 401, 421, 431, 711, 720, 721, 722, 723, 755, 779, 783 Гражданского кодекса Российской Федерации, разъяснениями, приведенными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постановлении Пленума Высшего Арбитражного Суда Российской Федерации от 14.03.2014 № 16 «О свободе договора и ее пределах», суд апелляционной инстанции пришел к выводу о наличии оснований для частичного удовлетворения исковых требований, с чем впоследствии согласился суд округа. Доводы заявителя, касающиеся распределения судебных расходов, являлись предметом рассмотрения суда округа и получили правовую оценку. 3 Иные доводы кассационной жалобы не опровергают выводы судов, направлены на переоценку установленных судами фактических обстоятельств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унитарного предприятия Волгоградской области «Волгоградвзрывпром»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