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первоначальная кассационная жалоба на указанные судебные акты возращена письмом Верховного Суда Российской Федерации от 18.11.2020 на основании пунктов 1 и 3 части 1 статьи 291.5 Арбитражного процессуального кодекса Российской Федерации в связи с нарушением требований, установленных частью 1 статьи 291.3 АПК РФ (жалоба не подписана), а также в связи с тем, что жалоба подана с пропуском срока и не содержала ходатайство о его восстановлении. Повторно кассационная жалоба подана (согласно оттиску почтового штемпеля на конверте) 26.12.2020 – также с пропуском срока, установленного частью 1 статьи 291.2 АПК РФ, для обращения в Судебную коллегию Верховного Суда Российской Федерации с жалобой в порядке кассационного производства. 2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срока уважительными и если не истекли предусмотренные статьями 259, 276, 291.2, 308.1 и 312 АПК РФ предельные допустимые сроки для восстановления. Последним обжалуемым судебным актом по делу № А32-44794/2019 является постановление Арбитражного суда Северо-Кавказского округа от 27.08.2020, вступившее в законную силу, согласно части 5 статьи 289 АПК РФ, со дня его принятия – 27.08.2020, следовательно, двухмесячный срок на подачу кассационной жалобы истек 27.10.2020, тогда как жалоба подана 26.12.2020. Одновременно с подачей жалобы обществом заявлено ходатайство о восстановлении пропущенного процессуального срока. Однако причины пропуска срока заявителем не указаны.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«Торговое предприятие «Алтайский литейный завод» в удовлетворении ходатайства о восстановлении пропущенного процессуального срока подачи жалобы на решение Арбитражного суда Краснодарского края от 22.03.2020 по делу 3 № А32-44794/2019, постановление Пятнадцатого арбитражного апелляционного суда от 17.06.2020 и постановление Арбитражного суда Северо-Кавказского округа от 27.08.2020 по тому же делу. Жалобу общества с ограниченной ответственностью «Торговое предприятие «Алтайский литейный завод» возвратить без рассмотрения по существу. Судья Верховного Суда Российской Федерации Зарубина Е.Н.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