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27.03.2019, оставленным без изменения постановлением Третьего арбитражного апелляционного суда от 20.06.2019 и постановлением Арбитражного суда Восточно-Сибирского округа от 08.11.2019, в удовлетворении заявленных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Красноярского края.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Отказывая в удовлетворении заявленных требований, суды руководствовались статьями 195 , 196 , 200 Гражданского кодекса Российской Федерации, разъяснениями, приведенными в пунктах 10, 15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и исходили из пропуска обществом срока исковой давности, о чем было заявлено ответчиком, а также отсутствия предусмотренных статьей 188.1 Арбитражного процессуального кодекса Российской Федерации оснований для вынесения частного определения. Доводы кассационной жалобы выводы судов не опровергают и не подтверждают существенных нарушений норм материального и процессуального права, повлиявших на исход дела. Поскольку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имеется, ходатайство заявителя об участии в судебном заседании путем использования систем видео-конференц-связи рассмотрению не подлежит.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«Трасса-Экспресс»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Последние документы по делу: Определение от 25 июня 2020 г. по делу № А33-520/2019 Определение от 5 июня 2020 г. по делу № А33-520/2019 Определение от 18 мая 2020 г. по делу № А33-520/2019 Определение от 10 марта 2020 г. по делу № А33-520/2019 Показать все документы по этому делу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