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26.12.2019, оставленным без изменения постановлением Тринадцатого арбитражного апелляционного суда от 28.05.2020 и постановлением Арбитражного суда Северо-Западного округа от 16.09.2020, иск удовлетворен. В кассационной жалобе общество просит об отмене судебных актов, ссылаясь на отсутствие доказательств оказания услуг по подаче-уборке вагонов в период с апреля по август 2019 года, неправомерное начисление договорной неустойки после прекращения договора.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Исследовав представленные доказательства исполнения обязательств по договору от 01.07.2015 № 218/15, руководствуясь статьями 309, 310, 330, 421, 784 Гражданского кодекса Российской Федерации, нормами Федерального закона от 10.01.2003 № 18-ФЗ «Устав железнодорожного транспорта Российской Федерации», суды признали обоснованным требование о возмещении обществом оплаченной предприятием третьему лицу суммы сборов и платы за пользование железнодорожным подъездным путем. Взыскание неустойки за просрочку оплаты оказанных в период действия договора услуг основано на договоре.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«Тихвин»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