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determination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18 января 2021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3"/>
      </w:pPr>
      <w:r>
        <w:rPr>
          <w:rFonts w:ascii="Times New Roman" w:hAnsi="Times New Roman" w:eastAsia="Times New Roman" w:cs="Times New Roman"/>
          <w:b/>
          <w:i w:val="0"/>
          <w:sz w:val="22"/>
        </w:rPr>
        <w:t>Пункт 1. Обстоятельства дела и позиция заявителя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комитет обратился в Арбитражный суд Еврейской автономной области с исковым заявлением к федеральному государственному унитарному предприятию «Башмак» о взыскании 2 756 782 руб. убытков. К участию в деле в качестве третьего лица, не заявляющего самостоятельных требований относительно предмета спора, привлечен Мазурский Виктор Харитонович. Решением Арбитражного суда Еврейской автономной области от 18.02.2020 в удовлетворении иска отказано. Определением Шестого арбитражного апелляционного суда от 18.05.2020 апелляционная жалоба комитета возвращена на основании пункта 3 части 1 статьи 264 Арбитражного процессуального кодекса Российской Федерации. Комитет обратился в Арбитражный суд Дальневосточного округа с кассационной жалобы на решение суда первой инстанции, заявив ходатайство о восстановлении пропущенного процессуального срока. Арбитражный суд Дальневосточного округа определением от 31.07.2020, оставленным без изменения определением того же суда от 16.09.2020, возвратил кассационную жалобу заявителя на основании пункта 2 части 1 статьи 281 Арбитражного процессуального кодекса Российской Федерации 2 в связи с пропуском срока подачи и отказом в удовлетворении ходатайства о его восстановлении. В кассационной жалобе, поданной в Верховный Суд Российской Федерации, комитет просит отменить указанные определения суда округа, ссылаясь на их незаконность. По смыслу части 1 статьи 291.1, части 7 статьи 291.6, статьи 291.11 Арбитражного процессуального кодекса Российской Федерации кассационная жалоба подлежит передаче для рассмотрения в судебном заседании Судебной коллегии Верховного Суда Российской Федерации, если изложенные в ней доводы подтверждают наличие существенных нарушений норм материального права и (или) норм процессуального права, повлиявших на исход дела, без устранения которых невозможны восстановление и защита нарушенных прав и законных интересов заявителя в сфере предпринимательской и иной экономической деятельности. Между тем таких оснований по результатам изучения обжалуемых судебных актов и доводов кассационной жалобы не установлено. Отказывая в удовлетворении ходатайства о восстановлении пропущенного процессуального срока и возвращая кассационную жалобу комитета, суд округа руководствовался положениями статей 117, 276, 281 Арбитражного процессуального кодекса Российской Федерации, разъяснениями, приведенными в постановлении Пленума Высшего Арбитражного Суда Российской Федерации от 25.12.2013 № 99 «О процессуальных сроках», и исходил из того, что приведенные заявителями причины пропуска срока не являются уважительными. С указанными выводами согласился арбитражный суд округа при рассмотрении жалобы заявителя, поданной в порядке статьи 291 Арбитражного процессуального кодекса Российской Федерации. Доводы кассационной жалобы не опровергают выводы суда и не подтверждают существенных нарушений норм права, повлиявших на исход дела. Принимая во внимание изложенное и руководствуясь статьями 291.6, 291.8 Арбитражного процессуального кодекса Российской Федерации, судья Верховного Суда Российской Федерации</w:t>
      </w:r>
    </w:p>
    <w:p>
      <w:pPr>
        <w:spacing w:before="200" w:after="300"/>
        <w:pBdr>
          <w:bottom w:val="single" w:sz="6" w:space="1" w:color="000000"/>
        </w:pBdr>
      </w:pP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ОПРЕДЕЛИЛ:</w:t>
      </w:r>
    </w:p>
    <w:p>
      <w:pPr>
        <w:spacing w:after="120" w:before="160"/>
        <w:ind w:firstLine="720"/>
        <w:jc w:val="both"/>
      </w:pPr>
      <w:r>
        <w:rPr>
          <w:rFonts w:ascii="Times New Roman" w:hAnsi="Times New Roman" w:eastAsia="Times New Roman" w:cs="Times New Roman"/>
          <w:b/>
          <w:i w:val="0"/>
          <w:sz w:val="22"/>
        </w:rPr>
        <w:t xml:space="preserve">1. </w:t>
      </w:r>
      <w:r>
        <w:rPr>
          <w:rFonts w:ascii="Times New Roman" w:hAnsi="Times New Roman" w:eastAsia="Times New Roman" w:cs="Times New Roman"/>
          <w:b w:val="0"/>
          <w:i w:val="0"/>
          <w:sz w:val="22"/>
        </w:rPr>
        <w:t>отказать в передаче кассационной жалобы Комитета по управлению государственным имуществом Еврейской автономной области для рассмотрения в судебном заседании Судебной коллегии по экономическим спорам Верховного Суда Российской Федерации. Судья Верховного Суда Российской Федерации Н.С. Чучунова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