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21.11.2019 исковые требования удовлетворены в части расторжения договора, в остальной части иска отказано. Постановлением Двадцать первого арбитражного апелляционного суда от 13.07.2020, оставленным без изменения постановлением Арбитражного суда Центрального округа от 07.10.2020, решение от 21.11.2019 отменено в части отказа во взыскании неосновательного обогащения, иск удовлетворен. В кассационной жалобе общество просит отменить постановления апелляционного и окружного судов, ссылаясь на игнорирование установленной в рамках другого дела вины предприятия в неисполнении договора, 2 неосновательное назначение экспертизы и ненадлежащий характер ее заключения.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предмет ранее рассмотренного в связи с исполнением договора от 11.11.2016 № ВК-16/410 дела не связан с качеством работ, поэтому не признал установленные в нем обстоятельства обязательными для рассматриваемого дела. В рамках рассматриваемого дела установлена некачественность выполненных к моменту прекращения договора работ, оплаченная стоимость которых правомерно взыскана с ответчика в качестве последствия некачественного выполнения работы (статья 723 Гражданского кодекса Российской Федерации). Вопросы доказывания и оценки доказательств, связанные с назначением и оценкой экспертизы,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«Единый санитарно-экологический 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