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Амурской области от 19.02.2020, оставленным без изменения постановлением Шестого арбитражного апелляционного суда от 02.07.2020, оспариваемое постановление признано незаконным и изменено в части назначенного наказания, административный штраф заменен на предупреждение. Постановлением Арбитражного суда Дальневосточного округа от 08.10.2020 указанные судебные акты оставлены без изменения. Административный орган обратился в Верховный Суд Российской Федерации с кассационной жалобой на принятые по делу судебные акты,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Федерального закона от 14.06.2012 № 67-ФЗ «Об обязательном страховании гражданской ответственности перевозчика за причинение вреда жизни, здоровью, имуществу пассажиров и о порядке возмещения такого вреда, при причиненного при перевозках пассажиров метрополитеном», суды пришли к выводу о наличии в действиях предпринимателя состава вмененного административного правонарушения, однако установили основания для применения статьи 4.1.1 Кодекса Российской Федерации об административных правонарушениях, предусматривающей замену штрафа на предупреждение. Доводы жалобы были предметом исследования судов и получили исчерпывающую правовую оценку с учетом того, что привлечение ранее гражданина к административной ответственности за правонарушения, не связанные с осуществлением предпринимательской деятельности, не препятствует применению к нему как к предпринимателю ст. 4.1.1 Кодекса Российской Федерации об административных правонарушениях. Указанные доводы не свидетельствуют о существенных нарушениях судами норм материального права и (или) норм процессуального права, 3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