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12.12.2019 иск удовлетворен. Пятнадцатый арбитражный апелляционный суд постановлением от 29.05.2020 отменил решение от 12.12.2019 и отказал в удовлетворении иска. Арбитражный суд Северо-Кавказского округа постановлением от 17.09.2020 постановление Пятнадцатого арбитражного апелляционного суда от 29.05.2020 оставил без изменения. В кассационной жалобе общество «Россети Кубань» просит об отмене судебных актов апелляционного и окружного судов, указывая что заявленные расходы направлены на восстановление поврежденного следствие страхового случая имущества и подтверждены локальным сметным расчетом.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929 Гражданского кодекса Российской Федерации по договору страхования имущества подлежат взысканию вызванные страховым случаем убытки в застрахованном имуществе. Апелляционным судом установлено, что заявленные расходы не относятся к расходам на восстановление поврежденной опоры до состояния, предшествовавшего наступившему страховому случаю. Договором от 31.12.2014 № 1409099004603/407/30-1660, об исполнении которого предъявлен иск, не застрахован риск возникновения убытков, соответствующих критериям заявленных, что позволяло бы возместить их за счет страхования, поэтому в удовлетворении иска правомерно отказано.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Кубань»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