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23.01.2020, оставленным без изменения постановлением Четвертого арбитражного апелляционного суда от 09.06.2020, в удовлетворении заявления отказано. Постановлением Арбитражного суда Восточно-Сибирского округа от 18.09.2020 указанные судебные акты оставлены без изменения. 2 В кассационной жалобе, поступившей в Верховный Суд Российской Федерации, общество просит отменить обжалуемые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 изучении доводов жалобы, а также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 том, что общество не обосновало начальную (максимальную) цену контракта, эти действия привели к завышению стоимости продукции, закупаемой в целях исполнения государственного оборонного заказа. Частью 1 статьи 14.55.2 Кодекса Российской Федерации об административных правонарушениях установлена ответственность за совершение головным исполнителем, исполнителем действий (бездействия), запрещенных законодательством Российской Федерации в сфере государственного оборонного заказа, если такие действия (бездействие) приводят или могут привести к необоснованному завышению цены на продукцию по государственному оборонному заказу, неисполнению или ненадлежащему исполнению государственного контракта по государственному 3 оборонному заказу, за исключением случаев, предусмотренных частью 2 настоящей статьи, статьями 14.31 и 14.55 настоящего Кодекса. Оценив представленные доказательства, руководствуясь положениями Федерального закона от 29.12.2012 № 275-ФЗ «О государственном оборонном заказе», суды пришли к выводу о наличии в действиях общества состава правонарушения, ответственность за совершение которого предусмотрена частью 1 статьи 14.55.2 Кодекса Российской Федерации об административных правонарушениях, с учетом выводов суда по делу № А45-174/2019 Арбитражный суд Новосибирской области, в рамках которого установлены обстоятельства правонарушения, на основании которых общество привлечено к административной ответственности. Судами установлено, что процедура и срок давности привлечения к административной ответственности соблюдены. Штраф назначен в пределах санкции нормы. Доводы кассационных жалоб были предметом исследования судов и получили исчерпывающую правовую оценку, в том числе, с учетом формирования области государственного регулирования и контроля за бюджетными финансовыми потоками,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