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06.03.2020, оставленным без изменения постановлением Одиннадцатого арбитражного апелляционного суда от 25.05.2020, иск удовлетворен частично, с ответчика в пользу истца взыскано 1 286 693,84 рублей, в том числе долг в размере 1 263 942,87 рублей, пени в размере 22 750,97 рублей, а также пени, рассчитанную на указанную сумму долга (1 263 942,87 рублей), в размере 2 одной трехсотой действующей на дату уплаты пеней ставки рефинансирования Центрального банка Российской Федерации от не уплаченной суммы долга за каждый день, начиная с 24.10.2019 по день фактической уплаты указанной суммы долга. Постановлением Арбитражного суда Поволжского округа от 24.09.2020 указанные судебные акты отменены, в удовлетворении иска отказано. Истец обратился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Отменяя решение суда первой и постановление суда апелляционной инстанций, суд округа руководствовался положениями статей 34, 95 Федерального закона от 21.07.2005 № 94-ФЗ «О размещении заказов на поставки товаров, выполнение работ, оказания услуг для государственных и муниципальных нужд», статей 453, 743 Гражданского кодекса Российской Федерации, и отказал в иске, признав, что выполнение истцом дополнительных работ, не предусмотренных контрактом, само по себе не порождает у ответчика обязанность по их оплате; выполнение спорных работ, стоимость которых заявлена к взысканию, сторонами не согласовывалась. Выводы суда округа не противоречат правовой позиции, изложенной в пункте 35 Обзора судебной практики Верховного Суда РФ № 2 (2020), утвержденного Президиумом Верховного Суда РФ 22.07.2020. Доводы жалобы не могут служить основанием для отмены судебных актов в отсутствие доказательств того, что дополнительные работы являлись необходимыми для обеспечения годности и прочности результата работ, выполнение работ в сложившейся ситуации иным лицом не было бы возможно без увеличения их стоимости. 3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в жалобе не приведено.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