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25.06.2020, оставленным без изменения постановлением Девятого арбитражного апелляционного суда от 24.08.2020, в удовлетворении требования отказано. 2 Постановлением Арбитражного суда Московского округа от 05.11.2020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как генеральным подрядчиком требований проектной документации при строительстве объекта капитального строительства. Частью 1 статьи 9.4 Кодекса Российской Федерации об административных правонарушениях установлена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(изделий). Оценив представленные доказательства, руководствуясь положениями статей 52, 53, 54 Градостроительного кодекса Российской Федерации, Федерального закона от 30.12.2009 № 384-ФЗ «Технический регламент о безопасности зданий и сооружений», суды пришли к выводу о доказанности в действиях общества состава административного правонарушения, ответственность за которое предусмотрена частью 1 статьи 9.4 Кодекса Российской Федерации об административных правонарушениях. 3 Вина общества состоит в том, что им не были приняты все необходимые и достаточные меры для надлежащего исполнения обязательных требований при строительстве объекта капитального строительства. Судами проверены процедура и срок давности привлечения к административной ответственности, наказание в виде штрафа назначено в пределах санкции нормы. Доводы жалобы были предметом исследования судов и получили исчерпывающую правовую оценку, в том числе, исходя из установленных обстоятельств, свидетельствующих о наличии оснований для проведения проверки, соблюдении порядка проведения проверки и привлечения к административной ответственности,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