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30.01.2020, оставленным без изменения постановлением Второго арбитражного апелляционного суда от 29.05.2020, иск удовлетворен. Арбитражный суд Волго-Вятского округа постановлением от 15.09.2020 решение от 30.01.2020 и постановление Второго арбитражного апелляционного суда от 29.05.2020 оставил без изменения. В кассационной жалобе предприниматель просит об отмене судебных актов, ссылаясь на игнорирование частичного погашения долга поручителем, неправильное определение периода начисления пеней, умышленное непредставление банком подлинных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в обоснование оплаты части долга поручителем доказательства оценены критически исходя из содержания, не позволившего отнести их к спорному кредиту. Период начисления пеней соответствует периоду неисполнения предъявленного банком требования о погашении долгов, возникших из договора от 28.06.2018 № 188/01/18.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КБ "Иваново" в лице государственной корпорации "Агентство по страхованию вкладов" (подробнее) Ответчики: ИП Кадникова Ольга Александровна (подробнее) Иные лица: Второй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