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17.02.2019 в удовлетворении первоначального иска отказано, встречный иск удовлетворен, с общества в пользу администрации взыскано 99 250 рублей штрафа и 35 000 рублей судебных расходов по оплате экспертизы, распределены судебные расходы. Постановлением Пятнадцатого арбитражного апелляционного суда от 27.07.2020 решение суда первой инстанции изменено, с общества в пользу администрации взыскано 49 625 рублей штрафа и 17 500 рублей расходов за проведение экспертизы, распределены судебные расходы, в остальной части решение суда первой инстанции оставлено без изменения. Постановлением Арбитражного суда Северо-Кавказского округа от 20.10.2020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330 , 475 , 518 , 557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признали факт ненадлежащего исполнения обществом обязательств по контракту, в связи с чем отказали в удовлетворении первоначального иска; удовлетворяя встречный иск частично, суд апелляционной инстанции уменьшил размер штрафа с учетом выплаченной банковской гарантии. Доводы жалобы были предметом исследования судов и получили исчерпывающую правовую оценку с учетом установленных обстоятельств, свидетельствующих о том, что жилое помещение не соответствовало требованиям контракта, в отсутствие мер к устранению недостатков объекта,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"Надежда" (подробнее) Ответчики: Администрация Родионово-Несветайского района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