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21.10.2019, оставленным без изменения постановлением Одиннадцатого арбитражного апелляционного суда от 09.07.2020, признано недействительным оспариваемое решение в части доначисления налога на прибыль организаций в размере 2 464 154 рублей, начисления пени по налогу на прибыль в соответствующей 2 части, а также в части доначисления штрафа по пункту 1 статьи 122 Налогового кодекса Российской Федерации в размере 323 910 рублей, по пункту 3 статьи 122 Налогового кодекса Российской Федерации в размере, превышающем 2 352 895,70 рублей, в удовлетворении остальной части заявленных требований было отказано; в части требований о признании недействительным оспариваемого решения относительно доначисления налога на добавленную стоимость в сумме 137 796 051 рублей, в части пени по налогу на добавленную стоимость, начисленных к уплате на указанную сумму налога, а также в части пункта 2.2.1 решения в части дополнительного начисления налога на прибыль в размере 1 118 051 рублей, штрафа в размере 223 610 рублей, а также соответствующей суммы пени по налогу на прибыль на указанную сумму налога производство по делу прекращено в связи с отказом от иска. Постановлением Арбитражного суда Поволжского округа от 17.09.2020 указанные судебные акты оставлены без изменения, производство по кассационной жалобе общества с ограниченной ответственностью «Росскат- Центр» прекращено. Общество просит отменить принятые по делу судебные акты по эпизоду, связанному с реализацией продукции, изготовленной из давальческого сырья, направить дело на новое рассмотрение в суд первой инстанции.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Суды отказали в удовлетворении требования в обжалуемой части, признав доказанным факт получения обществом необоснованной налоговой выгоды, признав, что общество реализовало схему ухода от налогообложения, не отразив реальный объем реализации готовой продукции. При рассмотрении дела суды руководствовались положениями статей 146, 169, 171, 172 Налогового кодекса Российской Федерации и правовой 3 позицией, изложенной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Доводы о непривлечении ООО «Росскат-Центр» к участию в деле при отсутствии жалобы указанного лица сами по себе не могут служить основанием для отмены судебных актов. Каким образом непривлечение указанного лица привело или могло привести к принятию неправильного решения, в жалобе не указано. Иные доводы жалобы были предметом исследования судов и получили исчерпывающую правовую оценку,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