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07.11.2019, оставленным без изменения постановлением Девятнадцатого арбитражного апелляционного суда от 19.06.2020 и постановлением Арбитражного суда Центрального округа от 14.09.2020, исковые требования удовлетворены частично. В кассационной жалобе фирма просит о пересмотре судебных актов, ссылаясь на несогласование условия о коммерческом кредите и отсутствие у общества правоспособности для осуществления кредитования.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согласование сторонами условия о коммерческом кредитовании в договоре от 18.10.2018 № 204/18-п (пункт 3.11) и нарушение фирмой согласованного срока оплаты товара, повлекшее начисление процентов по коммерческому кредиту. Коммерческое кредитование осуществляется стороной по договору, из которого возникает соответствующее обязательство (статья 823 Гражданского кодекса Российской Федерации) и не требует специальной правоспособности.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фирма «Ястреб»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"Торговый дом "Транссервис" (подробнее) Ответчики: ООО "СФ"Ястреб" (подробнее) Иные лица: 19 Арбитражный апелляционный суд (подробнее) Арбитражный суд Астраханской области (подробнее) Арбитражный суд Центрального округа (подробнее) Межрайонная инспекция Федеральной Налоговой службы №5 по Астраханской области (подробнее) Судьи дела: Ксенофонтова Н.А.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