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18.05.2020, оставленным без изменения постановлением Десятого арбитражного апелляционного суда от 16.07.2020 и постановлением Арбитражного суда Московского округа от 19.10.2020, в удовлетворении иска отказано. В кассационной жалобе компания просит об отмене судебных актов, ссылаясь на нарушение преюдиции признанного и приведенного в исполнение решения иностранного суда в отношении причины недостатка поставленного ответчиком оборудования.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Как установлено судами, правоотношения компании с покупателем оборудования основаны на самостоятельном договоре, исполнение которого являлось предметом исследования иностранного суда. В рамках правоотношений с ответчиком компания не доказала нарушения последним обязательства, необходимого в силу статей 15 , 393 Гражданского кодекса Российской Федерации для взыскания уплаченных иностранному покупателю денежных сумм в качестве убытков. Требуемая в жалобе переоценка выводов судов в отношении условий применения ответственности не составляет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«Омская холодильная компания»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"Омская холодильная компания" (подробнее) Ответчики: АО "Альфа Лаваль Поток" (подробнее) Судьи дела: Ксенофонтова Н.А.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