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должника единственного жилья. Определением Арбитражного суда Свердловской области от 25.12.2019, оставленным без изменения постановлениями Семнадцатого арбитражного апелляционного суда от 16.07.2020 и Арбитражного суда Уральского округа от 17.09.2020,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заявленного должником требования.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Исключая из конкурсной массы жилой дом и расположенный под ним земельный участок, суд первой инстанции, руководствуясь статьёй 446 Гражданского процессуального кодекса Российской Федерации, статьёй 213.25 Федерального закона от 26.10.2002 № 127-ФЗ «О несостоятельности (банкротстве), правовой позицией, изложенной в постановлении Конституционного Суда Российской Федерации от 14.05.2012 № 11-П, пунктом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того, что право собственности на них зарегистрировано задолго до возникновения задолженности перед кредитором, сам жилой дом является единственным пригодным для постоянного проживания должника и членов его семьи (включая двух несовершеннолетних детей) жилым помещением, не является чрезмерным и в большей степени способствует реализации конституционного права на жилье. С данными выводами впоследствии согласились суды апелляционной инстанции и округа, указав на отсутствие в настоящее время установленного законодателем механизма обращения взыскания на единственное жилое помещение должника, не отвечающее разумности (роскошное жильё).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Ленинскому району г. Екатеринбурга (подробнее) Иные лица: Ассоциация Ведущих Арбитражных Управляющих "Достояние"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