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30.12.2019, оставленным без изменения постановлением Тринадцатого арбитражного апелляционного суда от 01.06.2020, в удовлетворении требования отказано. Постановлением Арбитражного суда Северо-Западного округа от 23.09.2020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нарушении обществом требований технических регламентов при осуществлении деятельности организатора питания в детских оздоровительных лагерях с дневным пребыванием детей на базах общеобразовательных учреждений.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3 Оценив представленные доказательства, руководствуясь положениями технических регламентов ТР ТС 021/2011 «О безопасности пищевой продукции», ТР ТС 022/2011 «Пищевая продукция в части ее маркировки», суды пришли к выводу о наличии в действиях общества состава правонарушения, ответственность за совершение которого предусмотрена частью 1 статьи 14.43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соблюдены. Штраф назначен в пределах санкции нормы.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Доводы жалобы о том, что в оспариваемом постановлении и судебных актах не разрешен вопрос о вещах, на которые наложен арест, сам по себе не может служить основанием для отмены судебных актов, в отсутствие сведений о том, что общество пыталось разрешить этот вопрос иными способами, но ему было отказано.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