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06.03.2020, оставленным без изменения постановлением Восемнадцатого арбитражного апелляционного суда от 09.06.2020, иск удовлетворен. Арбитражный суд Уральского округа постановлением от 16.10.2020 решение от 06.03.2020 и постановление Восемнадцатого арбитражного апелляционного суда от 09.06.2020 оставил без изменения. В кассационной жалобе предприятие просит об отмене судебных актов, ссылаясь на неподтверждение истцом нарушения в определении веса груза и принятие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Расхождение в сторону превышения допустимой погрешности между указанным отправителем и определенным истцом весом груза установлено судами на основании представленных доказательств, требуемая в жалобе переоценка которых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«Предприятие промышленного железнодорожного транспорта»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"РЖД" (подробнее) ОАО "Российские железные дороги" (подробнее) Ответчики: ООО "Предприятие промышленного железнодорожного транспорта" (подробнее) Иные лица: 18-й ААС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