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признании недействительной сделки по передаче акций кредитора, заключенной 20.07.2012 между должником и его сыном Шалиным Алексеем Сергеевичем; применении последствий недействительности сделки. Определением Арбитражного суда города Москвы от 14.02.2020, оставленным без изменения постановлениями Девятого арбитражного апелляционного суда от 25.06.2020 и Арбитражного суда Московского округа от 22.09.2020,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168 Гражданского кодекса Российской Федерации, исходили из недоказанности совокупности условий для признания недействительной сделки по заявленным основаниям, в частности, злоупотребления правом и намерений причинить вред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«Конструкторское бюро «Корунд-М»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