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25.10.2019, оставленным без изменения постановлением Девятого арбитражного апелляционного суда от 12.02.2020 и постановлением Арбитражного суда Московского округа от 06.08.2020, в удовлетворении первоначального и встречного исков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отказа в удовлетворении встречного иска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кассационной жалобы не установлено. Как следует из материалов дела, общество, обращаясь в арбитражный суд со встречным иском по настоящему делу, сослалось на наличие у него убытков в виде расходов, связанных с исполнением им договора купли-продажи предмета лизинга.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624, 665 Гражданского кодекса Российской Федерации, положениями Федерального закона от 29.10.1998 №164-ФЗ «О финансовой аренде (лизинге)»,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пришли к выводу об отсутствии оснований для удовлетворения требований общества, исходя из недоказанности им наличия совокупности условий, необходимых для взыскания с компании убытков. С указанными выводами впоследствии согласился суд округа. Доводы кассационной жалобы не опровергают выводы судов и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«Каркаде»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