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04.02.2020, оставленным без изменения постановлением Двадцать первого арбитражного 2 апелляционного суда от 09.06.2020, оспариваемое постановление изменено в части назначенного обществу наказания, размер административного штрафа снижен с 250 000 рублей до 125 000 рублей, в удовлетворении остальной части требований отказано. Постановлением Арбитражного суда Центрального округа от 17.09.2020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жалобы, дополнения к ней,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обществом общего имущества многоквартирного дома.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3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ответственность за надлежащее содержание общего имущества многоквартирных домов несет общество как управляющая организация.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 и порядку привлечения к административной ответственности,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