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03.03.2020, оставленным без изменения постановлением Восьмого арбитражного апелляционного суда от 22.06.2020, общество привлечено к административной ответственности, предусмотренной частью 3 статьи 14.17 Кодекса Российской Федерации об административных правонарушениях, и ему назначено наказание в виде штрафа в размере 3 000 000 рублей, изъятая алкогольная продукция направлена на уничтожение в установленном порядке. Постановлением Арбитражного суда Западно-Сибирского округа от 10.09.2020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рассмотрении доводов жалобы и принятых по делу судебных актов таких оснований не установлено. Как следует из судебных актов, основанием для составления протокола и обращения в суд с заявлением послужил выявленный административным органом факт осуществления обществом оборота алкогольной продукции при оказании услуг общественного питания в отсутствие лицензии на осуществление деятельности по розничной продаже алкогольной продукции. Частью 3 статьи 14.17 Кодекса Российской Федерации об административных правонарушениях предусмотрена ответственность за производство или оборот этилового спирта, алкогольной и спиртосодержащей продукции без соответствующей лицензии.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3 статьи 14.17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соблюдены. Оснований для признания правонарушения малозначительным, назначения наказания ниже низшего размера санкции нормы, замены штрафа на предупреждение судами не установлено. Штраф назначен в минимальном размере санкции нормы. Доводы о нарушении административным органом положений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подлежат отклонению, поскольку непосредственное обнаружение должностным лицом достаточных данных, указывающих на наличие события административного правонарушения, повлекло осуществление всех последующих действий в ходе производства по делу об административном правонарушении в порядке, установленном Кодексом Российской Федерации об административных правонарушениях. В силу положений части 3 статьи 270 , части 3 статьи 288 Арбитражного процессуального кодекса Российской Федерации ссылка заявителя на отказ суда первой инстанции в удовлетворении ходатайства об отложении дела, не является основанием для отмены судебных актов в отсутствие доказательств того, что указанные обстоятельства привели или могли привести к принятию неправильного решения, с учетом того, что кредитный договор и договоры залога заключаются в рамках обычной хозяйственной деятельности юридического лица и сами по себе не характеризуют финансовое положение организации. Доводы жалобы были предметом исследования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Департамент экономического развития Ханты-Мансийского автономного округа - Югры (подробнее) Департамент экономического развития ХМАО-Югры (подробнее) Ответчики: ООО "ИНТЕР СЕВЕР"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