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28.04.2020, оставленным без изменения постановлением Второго арбитражного апелляционного суда от 09.07.2020, арбитражный управляющий привлечен к административной ответственности по части 3 статьи 14.13 Кодекса Российской Федерации об административных правонарушениях и ему 2 назначено административное наказание в виде административного штрафа в размере 25 000 рублей. Постановлением Арбитражного суда Волго-Вятского округа от 19.10.2020 указанные судебные акты оставлены без изменения. Арбитражный управляющий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 и установив, что арбитражный управляющий в нарушение Федерального закона от 26.10.2002 № 127-ФЗ «О несостоятельности (банкротстве)», не принял своевременных мер по истребованию документации у руководителя должника, не провел анализ заключенных должником сделок, суды пришли к выводу о доказанности административным органом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соблюдены, наказание назначено в пределах санкции нормы. Доводы жалобы были предметом рассмотрения судов и получили исчерпывающую правовую оценку применительно к установленным обстоятельствам и специфике профессиональной деятельности арбитражного управляющего, который обязан действовать добросовестно и разумно в интересах должника и кредиторов.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