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непубличное акционерное общество «Первое коллекторское бюро» обратилось в суд с заявлением о включении в реестр требований кредиторов должника его требования в размере 2 292 101 рубля 27 копеек как обеспеченного залогом имущества должника и уступленного акционерным обществом «ЮниКредит Банк» по договору цессии. Определением Арбитражного суда Ставропольского края от 23.06.2020, оставленным без изменения постановлением Шестнадцатого арбитражного апелляционного суда от 26.08.2020, в удовлетворении заявления отказано. Постановлением Арбитражного суда Северо-Кавказского округа от 29.10.2020 названные судебные акты отменены, дело направлено на новое рассмотрение в Арбитражный суд Ставропольского края.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обособленный спор на новое рассмотрение, суд округа, руководствуясь статьями 69, 161 Арбитражного процессуального кодекса Российской Федерации, статьями 10, 168, 432 Гражданского кодекса Российской Федерации, пунктом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 из того, что принятые по нему судебные акты вынесены без полного исследования всех доказательств и фактических обстоятельств, имеющих существенное значение для правильного разрешения данного спора.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заявленных требований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Колесниковой Ольге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