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26.02.2020, оставленным без изменения постановлением Двадцать первого арбитражного апелляционного суда от 29.07.2020, заявленное требование удовлетворено. Постановлением Арбитражного суда Центрального округа от 22.10.2020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Суды признали, что административный орган провел внеплановую проверку, в ходе которой был выявлен факт административного правонарушения, и вынесены оспариваемые акты, с нарушением срока уведомления о проведении проверки, что на основании статьи 20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грубым нарушением порядка проведения проверок, влекущим недействительность ее результатов. Указанные доводы в кассационной жалобе не опровергнуты. При указанных обстоятельствах доводы жалобы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