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10.02.2020, оставленным без изменения постановлением Девятого арбитражного апелляционного суда от 11.06.2020, в иске отказано. Постановлением Арбитражного суда Московского округа от 28.09.2020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431, 523, 525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в иске отказали, признав, что поставленный товар по своим характеристикам не соответствует условиям договора и не имеет потребительской ценности для заказчика. Доводы жалобы были предметом исследования судов и получили исчерпывающую правовую оценку исходя из отсутствия доказательств, свидетельствующих о невозможности выполнения работ надлежащего качества либо устранения недостатков в установленные сроки,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