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21.02.2020, оставленным без изменения постановлением Десятого арбитражного апелляционного суда от 02.06.2020, в иске отказано. Постановлением Арбитражного суда Московского округа от 06.10.2020 указанные судебные акты оставлены без изменения. Учреждение обратилось в Верховный Суд Российской Федерации с кассационной жалобой, в которой просит названные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статей 475, 506, 518 Гражданского кодекса Российской Федерации, статьи 95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суды в иске отказали, исходя из конкретных фактических обстоятельств дела, свидетельствующих о том, что на дату получения товара истец признавал его соответствие требованиям контракта, эксплуатировал товар, претензий о его качестве ни от истца, ни от грузополучателя не поступало. Доводы жалобы были предметом исследования судов и получили исчерпывающую правовую оценку, не согласиться с которыми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