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Ловкина Анна Васильевна обратилась в суд с заявлением об утверждении положения о порядке, условиях и сроках реализации имущества должника (далее – положение о продаже). Определением Арбитражного суда Свердловской области от 11.02.2020, оставленным без изменения постановлениями Семнадцатого арбитражного апелляционного суда от 17.06.2020 и Арбитражного суда Уральского округа от 16.09.2020, положение о продаже утверждено в предложенной финансовым управляющим редакции.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Утверждая положение о продаже, суд первой инстанции руководствовался статьёй 353 Гражданского кодекса Российской Федерации, статьями 35, 38 Семейного кодекса Российской Федерации, статьями 213.25, 213.26 Федерального закона от 26.10.2002 № 127-ФЗ «О несостоятельности (банкротстве), разъяснениями, содержащимися в постановлении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и исходил из того, что последнее не противоречило положениям законодательства о банкротстве, соответствовало интересам кредиторов и не нарушало чьих-либо прав, допустив возможность получения супругой должника причитающейся ей доли после реализации находящегося в общей совместной собственности имущества на торгах и совершения соответствующих выплат. С указанными выводами впоследствии согласились суды апелляционной инстанции и округа.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Шабалиной Елене Николаевне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