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20.09.2018, оставленным без изменения постановлением Четырнадцатого арбитражного апелляционного суда от 28.02.2019, общество привлечено к административной ответственности, предусмотренной частью 1 статьи 14.43 Кодекса Российской Федерации об административных правонарушениях, и ему назначено наказание в виде штрафа в размере 50 000 рублей. 2 В дальнейшем общество обратилось с заявлением о пересмотре решения суда по вновь открывшимся обстоятельствам. Вновь открывшимися обстоятельствами по делу о привлечении к административной ответственности считает указанные в решении Верховного Суда РФ обстоятельства (ГОСТ носил рекомендательный характер), о котором ему не было известно ранее. Определением Арбитражного суда Вологодской области от 27.01.2020, оставленным без изменения и постановлением Четырнадцатого арбитражного апелляционного суда от 03.06.2020, в удовлетворении заявления отказано. Постановлением Арбитражного суда Северо-Западного округа от 09.09.2020 указанные судебные акты оставлены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о пересмотре судебного акта по вновь открывшимся обстоятельствам, суды руководствовались положениями статей 309, 311 Арбитражного процессуального кодекса Российской Федерации, правовой позицией, изложенной в пунктах 4, 5 и 7 постановления Пленума Высшего Арбитражного Суда Российской Федерации от 30.06.2011 № 52 «О применении положений Арбитражного процессуального кодекса 3 Российской Федерации при пересмотре судебных актов по новым или вновь открывшимся обстоятельствам». Доводы кассационной жалобы по существу сводятся к иной оценке заявителем обстоятельства, которое судами не признано вновь открывшимся, что само по себе не свидетельствует о нарушении судами норм процессуального права. При этом судебный акт не может быть произвольно пересмотрен в целях проведения повторного слушания по делу и вынесения нового решения без наличия установленных законом оснований.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