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Тульской области от 09.01.2020, оставленным без изменения постановлением Двадцатого арбитражного апелляционного суда от 19.06.2020, в удовлетворении требования отказано. Постановлением Арбитражного суда Центрального округа от 17.09.2020 указанные судебные акты оставлены без изменения. 2 Общество просит принятые по делу судебные акты отменить, считая их незаконными и необоснованными.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Федерального закона от 24.07.2009 № 212-ФЗ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страхования», Федерального закона от 03.07.2016 № 250-ФЗ «О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связи с принятием Федерального закона «О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пенсионное, социальное и медицинское страхование», Налогового кодекса Российской Федерации, суды отказали в удовлетворении требования, признав недоказанным факт излишней уплаты страховых взносов. Доводы жалобы были предметом исследования судов и получили исчерпывающую правовую оценку исходя из непредставления заявителем документов в обоснование своих требований, учета правил формирования информационных ресурсов, акта сверки расчетов,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Учитывая изложенное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