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10.02.2020, оставленным без изменения постановлением Четвертого арбитражного апелляционного суда от 18.06.2020, заявленные требования удовлетворены. Постановлением Арбитражного суда Восточно-Сибирского округа от 23.09.2020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Оценив представленные доказательства, руководствуясь положениями Таможенного кодекса Евразийского экономического союза, суды пришли к выводу о недоказанности таможенным органом в действиях общества состава правонарушения, ответственность за которое предусмотрена частью 2 статьи 16.2 Кодекса Российской Федерации об административных правонарушениях, с учетом установленных судебными актами по делу № А40-318992/2018 обстоятельств, свидетельствующих о заявлении обществом при таможенном декларировании товара достоверных сведений об их классификационном коде.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