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16.01.2020, оставленным без изменения постановлением Четвертого арбитражного апелляционного суда от 17.06.2020, оспариваемое постановление признано 2 незаконным и изменено в части назначенного наказания, размер штрафа снижен до 500 000 рублей. Постановлением Арбитражного суда Восточно-Сибирского округа от 16.10.2020 указанные судебные акты отменены, дело направлено на новое рассмотрение в суд первой инстанции.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с учетом доводов и возражений лиц, участвующих в деле, и имеющихся доказательств установить обстоятельства, имеющие значение для дела, и с учетом результата их оценки в совокупности и взаимосвязи принять обоснованное решение.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3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