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(далее – уполномоченный орган) обратилась в суд с заявлением об установлении в реестре требований кредиторов должника её требований в размере 34 680 222 рублей 84 копеек, в том числе во вторую очередь в размере 9 262 рублей 34 копеек – основной долг по страховым взносам на обязательное пенсионное страхование, в третью очередь в размере 34 670 960 рублей 50 копеек, в том числе 23 107 664 рублей 10 копеек основного долга, 9 893 129 рублей 36 копеек пени, 1 670 167 рублей штрафа. Определением Арбитражного суда Тульской области от 10.12.2019, оставленным без изменения постановлениями Двадцатого арбитражного апелляционного суда от 13.02.2020 и Арбитражного суда Центрального округа от 17.09.2020,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46-48 и 76 Налогового кодекса Российской Федерации, установив обстоятельства соблюдения уполномоченным органом требований законодательства о налогах и сборах по взысканию налоговой задолженности в принудительном порядке, пришли к выводам об обоснованности заявленных требований и необходимости их включения в реестр требований кредиторов должника.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установил: отказать Пластинину Сергею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