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«Станформа» удовлетворить. Срок подачи кассационной жалобы на решение Арбитражного суда Челябинской области от 24.03.2020, постановление Восемнадцатого арбитражного апелляционного суда от 09.06.2020 и постановление Арбитражного суда Уральского округа от 28.08.2020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