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«Лорри» обратилось в Арбитражный суд Свердловской области с иском о взыскании с общества с ограниченной ответственностью «АвтоЛидер» 67 211 рублей убытков, причиненных в результате просрочки доставки груза. Решением Арбитражного суда Свердловской области от 05.03.2020 иск удовлетворен в части взыскания 64 000 рублей, в удовлетворении иска в остальной части отказано. Постановлением Семнадцатого арбитражного апелляционного суда от 17.06.2020 решение суда первой инстанции оставлено без изменения. Арбитражный суд Уральского округа постановлением от 19.10.2020 указанные судебные акты оставил без изменения. Акционерное общество «Лорри»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ненадлежащего исполнения ответчиком обязательств по доставке груза, причинную связь между понесенными убытками и нарушением ответчиком обязательства, отсутствие доказательств возмещения причиненного ущерба, учитывая условия конкретной заявки на перевозку, руководствуясь положениями статей 15, 393, 784, 785, 792, 793 Гражданского кодекса Российской Федерации, разъяснениями, изложенными в постановлении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суды удовлетворили иск в части. Несогласие заявителя кассационной жалобы с произведенной судами оценкой обстоятельств дела и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«Лорри»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